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E2655C" w:rsidRPr="0052277A" w:rsidRDefault="00E2655C" w:rsidP="00E2655C">
      <w:pPr>
        <w:overflowPunct w:val="0"/>
        <w:autoSpaceDE w:val="0"/>
        <w:autoSpaceDN w:val="0"/>
        <w:adjustRightInd w:val="0"/>
        <w:spacing w:before="40" w:after="20" w:line="240" w:lineRule="auto"/>
        <w:ind w:right="5527"/>
        <w:textAlignment w:val="baseline"/>
        <w:rPr>
          <w:rFonts w:ascii="Arial" w:eastAsia="Times New Roman" w:hAnsi="Arial" w:cs="Times New Roman"/>
          <w:b/>
          <w:caps/>
          <w:sz w:val="20"/>
          <w:szCs w:val="20"/>
          <w:lang w:val="fr-FR" w:eastAsia="fr-FR"/>
        </w:rPr>
      </w:pPr>
      <w:r w:rsidRPr="0052277A">
        <w:rPr>
          <w:rFonts w:ascii="Arial" w:eastAsia="Times New Roman" w:hAnsi="Arial" w:cs="Times New Roman"/>
          <w:b/>
          <w:caps/>
          <w:sz w:val="20"/>
          <w:szCs w:val="20"/>
          <w:lang w:val="fr-FR" w:eastAsia="fr-FR"/>
        </w:rPr>
        <w:t>POUVOIR JUDICIAIRE</w:t>
      </w:r>
    </w:p>
    <w:p w:rsidR="00920BA3" w:rsidRPr="00CA0596" w:rsidRDefault="00920BA3" w:rsidP="00034DFE">
      <w:pPr>
        <w:rPr>
          <w:rFonts w:ascii="Arial" w:hAnsi="Arial" w:cs="Arial"/>
        </w:rPr>
      </w:pPr>
    </w:p>
    <w:p w:rsidR="00CA0596" w:rsidRDefault="000D523C" w:rsidP="00975E57">
      <w:pPr>
        <w:rPr>
          <w:rFonts w:ascii="Arial" w:hAnsi="Arial" w:cs="Arial"/>
          <w:b/>
          <w:bCs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Responsable en ressources humaines à 50</w:t>
      </w:r>
      <w:r w:rsidR="00D43D0B">
        <w:rPr>
          <w:rFonts w:ascii="Arial" w:hAnsi="Arial" w:cs="Arial"/>
          <w:b/>
          <w:bCs/>
          <w:color w:val="548DD4" w:themeColor="text2" w:themeTint="99"/>
          <w:sz w:val="36"/>
        </w:rPr>
        <w:t xml:space="preserve">% </w:t>
      </w:r>
    </w:p>
    <w:p w:rsidR="00A333A9" w:rsidRDefault="000D523C" w:rsidP="00FD459C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Secrétariat général des autorités judiciaires</w:t>
      </w:r>
    </w:p>
    <w:p w:rsidR="009A6A44" w:rsidRDefault="009A6A44" w:rsidP="00FD459C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</w:rPr>
      </w:pPr>
    </w:p>
    <w:p w:rsidR="009A6A44" w:rsidRDefault="00714BB1" w:rsidP="00FD459C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AUTJ60</w:t>
      </w:r>
    </w:p>
    <w:p w:rsidR="00757F9F" w:rsidRPr="00975E57" w:rsidRDefault="00757F9F" w:rsidP="00FD459C">
      <w:pPr>
        <w:tabs>
          <w:tab w:val="left" w:pos="241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6686"/>
      </w:tblGrid>
      <w:tr w:rsidR="00273775" w:rsidRPr="00757F9F" w:rsidTr="000033EA">
        <w:trPr>
          <w:trHeight w:val="266"/>
        </w:trPr>
        <w:tc>
          <w:tcPr>
            <w:tcW w:w="13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1180" w:rsidRPr="00757F9F" w:rsidRDefault="00D75D9C" w:rsidP="00DB3D0A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757F9F">
              <w:rPr>
                <w:rFonts w:ascii="Arial" w:hAnsi="Arial" w:cs="Arial"/>
                <w:sz w:val="20"/>
                <w:lang w:val="fr-FR"/>
              </w:rPr>
              <w:t xml:space="preserve">La fonction consiste principalement </w:t>
            </w:r>
            <w:r w:rsidR="00DB3D0A">
              <w:rPr>
                <w:rFonts w:ascii="Arial" w:hAnsi="Arial" w:cs="Arial"/>
                <w:sz w:val="20"/>
                <w:lang w:val="fr-FR"/>
              </w:rPr>
              <w:t xml:space="preserve">en la </w:t>
            </w:r>
            <w:r w:rsidR="000D523C">
              <w:rPr>
                <w:rFonts w:ascii="Arial" w:hAnsi="Arial" w:cs="Arial"/>
                <w:sz w:val="20"/>
                <w:lang w:val="fr-FR"/>
              </w:rPr>
              <w:t xml:space="preserve">gestion stratégique </w:t>
            </w:r>
            <w:r w:rsidR="00B5419E">
              <w:rPr>
                <w:rFonts w:ascii="Arial" w:hAnsi="Arial" w:cs="Arial"/>
                <w:sz w:val="20"/>
                <w:lang w:val="fr-FR"/>
              </w:rPr>
              <w:t xml:space="preserve">des </w:t>
            </w:r>
            <w:r w:rsidR="00DB3D0A">
              <w:rPr>
                <w:rFonts w:ascii="Arial" w:hAnsi="Arial" w:cs="Arial"/>
                <w:sz w:val="20"/>
                <w:lang w:val="fr-FR"/>
              </w:rPr>
              <w:t>ressources humaines</w:t>
            </w:r>
            <w:r w:rsidR="00B5419E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DE63A6">
              <w:rPr>
                <w:rFonts w:ascii="Arial" w:hAnsi="Arial" w:cs="Arial"/>
                <w:sz w:val="20"/>
                <w:lang w:val="fr-FR"/>
              </w:rPr>
              <w:t xml:space="preserve">du pouvoir judiciaire. </w:t>
            </w:r>
            <w:r w:rsidR="00B5419E">
              <w:rPr>
                <w:rFonts w:ascii="Arial" w:hAnsi="Arial" w:cs="Arial"/>
                <w:sz w:val="20"/>
                <w:lang w:val="fr-FR"/>
              </w:rPr>
              <w:t>Définition de la politique et des processus</w:t>
            </w:r>
            <w:r w:rsidR="00DE63A6">
              <w:rPr>
                <w:rFonts w:ascii="Arial" w:hAnsi="Arial" w:cs="Arial"/>
                <w:sz w:val="20"/>
                <w:lang w:val="fr-FR"/>
              </w:rPr>
              <w:t xml:space="preserve"> de recrutement, de formation</w:t>
            </w:r>
            <w:r w:rsidR="00B5419E">
              <w:rPr>
                <w:rFonts w:ascii="Arial" w:hAnsi="Arial" w:cs="Arial"/>
                <w:sz w:val="20"/>
                <w:lang w:val="fr-FR"/>
              </w:rPr>
              <w:t xml:space="preserve"> et de développement du personnel</w:t>
            </w:r>
            <w:r w:rsidR="00DE63A6">
              <w:rPr>
                <w:rFonts w:ascii="Arial" w:hAnsi="Arial" w:cs="Arial"/>
                <w:sz w:val="20"/>
                <w:lang w:val="fr-FR"/>
              </w:rPr>
              <w:t xml:space="preserve">, de </w:t>
            </w:r>
            <w:r w:rsidR="00A34284">
              <w:rPr>
                <w:rFonts w:ascii="Arial" w:hAnsi="Arial" w:cs="Arial"/>
                <w:sz w:val="20"/>
                <w:lang w:val="fr-FR"/>
              </w:rPr>
              <w:t>santé et sécurité au travail</w:t>
            </w:r>
            <w:r w:rsidR="00B5419E">
              <w:rPr>
                <w:rFonts w:ascii="Arial" w:hAnsi="Arial" w:cs="Arial"/>
                <w:sz w:val="20"/>
                <w:lang w:val="fr-FR"/>
              </w:rPr>
              <w:t xml:space="preserve">. </w:t>
            </w:r>
            <w:r w:rsidR="00DE63A6">
              <w:rPr>
                <w:rFonts w:ascii="Arial" w:hAnsi="Arial" w:cs="Arial"/>
                <w:sz w:val="20"/>
                <w:lang w:val="fr-FR"/>
              </w:rPr>
              <w:t xml:space="preserve">Établissement de directives et de règlements, de statistiques et de rapports, suivi des indicateurs, participation aux projets ainsi qu’aux décisions </w:t>
            </w:r>
            <w:r w:rsidR="00B5419E">
              <w:rPr>
                <w:rFonts w:ascii="Arial" w:hAnsi="Arial" w:cs="Arial"/>
                <w:sz w:val="20"/>
                <w:lang w:val="fr-FR"/>
              </w:rPr>
              <w:t xml:space="preserve">en matière </w:t>
            </w:r>
            <w:r w:rsidR="00DE63A6">
              <w:rPr>
                <w:rFonts w:ascii="Arial" w:hAnsi="Arial" w:cs="Arial"/>
                <w:sz w:val="20"/>
                <w:lang w:val="fr-FR"/>
              </w:rPr>
              <w:t>RH</w:t>
            </w:r>
            <w:r w:rsidR="00A34284">
              <w:rPr>
                <w:rFonts w:ascii="Arial" w:hAnsi="Arial" w:cs="Arial"/>
                <w:sz w:val="20"/>
                <w:lang w:val="fr-FR"/>
              </w:rPr>
              <w:t xml:space="preserve"> notamment quant à la structure et à l’organisation interne</w:t>
            </w:r>
            <w:r w:rsidR="00DB3D0A">
              <w:rPr>
                <w:rFonts w:ascii="Arial" w:hAnsi="Arial" w:cs="Arial"/>
                <w:sz w:val="20"/>
                <w:lang w:val="fr-FR"/>
              </w:rPr>
              <w:t xml:space="preserve"> des diverses entités du pouvoir judiciaire</w:t>
            </w:r>
            <w:r w:rsidR="00DE63A6">
              <w:rPr>
                <w:rFonts w:ascii="Arial" w:hAnsi="Arial" w:cs="Arial"/>
                <w:sz w:val="20"/>
                <w:lang w:val="fr-FR"/>
              </w:rPr>
              <w:t xml:space="preserve">. </w:t>
            </w:r>
            <w:r w:rsidR="00B5419E">
              <w:rPr>
                <w:rFonts w:ascii="Arial" w:hAnsi="Arial" w:cs="Arial"/>
                <w:sz w:val="20"/>
                <w:lang w:val="fr-FR"/>
              </w:rPr>
              <w:t xml:space="preserve">Gestion </w:t>
            </w:r>
            <w:r w:rsidR="00A34284">
              <w:rPr>
                <w:rFonts w:ascii="Arial" w:hAnsi="Arial" w:cs="Arial"/>
                <w:sz w:val="20"/>
                <w:lang w:val="fr-FR"/>
              </w:rPr>
              <w:t xml:space="preserve">en cas de crise et </w:t>
            </w:r>
            <w:r w:rsidR="00B5419E">
              <w:rPr>
                <w:rFonts w:ascii="Arial" w:hAnsi="Arial" w:cs="Arial"/>
                <w:sz w:val="20"/>
                <w:lang w:val="fr-FR"/>
              </w:rPr>
              <w:t>case management. Appui en matière de conseil, de médiation et règlement de conflits.</w:t>
            </w:r>
          </w:p>
        </w:tc>
      </w:tr>
      <w:tr w:rsidR="00273775" w:rsidRPr="00034DFE" w:rsidTr="000033EA">
        <w:tc>
          <w:tcPr>
            <w:tcW w:w="13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B5419E" w:rsidP="007005A1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Formation supérieure avec spécialisation </w:t>
            </w:r>
            <w:r w:rsidR="00DB3D0A">
              <w:rPr>
                <w:rFonts w:ascii="Arial" w:hAnsi="Arial" w:cs="Arial"/>
                <w:sz w:val="20"/>
              </w:rPr>
              <w:t>en ressources humaines</w:t>
            </w:r>
            <w:r>
              <w:rPr>
                <w:rFonts w:ascii="Arial" w:hAnsi="Arial" w:cs="Arial"/>
                <w:sz w:val="20"/>
              </w:rPr>
              <w:t xml:space="preserve"> (Université ou Haute école </w:t>
            </w:r>
            <w:r w:rsidR="00D75D9C">
              <w:rPr>
                <w:rFonts w:ascii="Arial" w:hAnsi="Arial" w:cs="Arial"/>
                <w:sz w:val="20"/>
              </w:rPr>
              <w:t>en droit</w:t>
            </w:r>
            <w:r>
              <w:rPr>
                <w:rFonts w:ascii="Arial" w:hAnsi="Arial" w:cs="Arial"/>
                <w:sz w:val="20"/>
              </w:rPr>
              <w:t xml:space="preserve"> ou en RH, brevet RH).</w:t>
            </w:r>
            <w:r w:rsidR="00D75D9C">
              <w:rPr>
                <w:rFonts w:ascii="Arial" w:hAnsi="Arial" w:cs="Arial"/>
                <w:sz w:val="20"/>
              </w:rPr>
              <w:t xml:space="preserve"> </w:t>
            </w:r>
            <w:r w:rsidR="00A34284">
              <w:rPr>
                <w:rFonts w:ascii="Arial" w:hAnsi="Arial" w:cs="Arial"/>
                <w:sz w:val="20"/>
              </w:rPr>
              <w:t>B</w:t>
            </w:r>
            <w:r w:rsidR="00D75D9C">
              <w:rPr>
                <w:rFonts w:ascii="Arial" w:hAnsi="Arial" w:cs="Arial"/>
                <w:sz w:val="20"/>
              </w:rPr>
              <w:t xml:space="preserve">onnes connaissances </w:t>
            </w:r>
            <w:r>
              <w:rPr>
                <w:rFonts w:ascii="Arial" w:hAnsi="Arial" w:cs="Arial"/>
                <w:sz w:val="20"/>
              </w:rPr>
              <w:t xml:space="preserve">en matière d’assurances sociales et de droit public du travail. Expérience préalable de 5 ans </w:t>
            </w:r>
            <w:r w:rsidR="00A34284">
              <w:rPr>
                <w:rFonts w:ascii="Arial" w:hAnsi="Arial" w:cs="Arial"/>
                <w:sz w:val="20"/>
              </w:rPr>
              <w:t>dans le domaine</w:t>
            </w:r>
            <w:r>
              <w:rPr>
                <w:rFonts w:ascii="Arial" w:hAnsi="Arial" w:cs="Arial"/>
                <w:sz w:val="20"/>
              </w:rPr>
              <w:t xml:space="preserve"> RH, idéalement au sein d’une</w:t>
            </w:r>
            <w:r w:rsidR="00A34284">
              <w:rPr>
                <w:rFonts w:ascii="Arial" w:hAnsi="Arial" w:cs="Arial"/>
                <w:sz w:val="20"/>
              </w:rPr>
              <w:t xml:space="preserve"> administration publique</w:t>
            </w:r>
            <w:r w:rsidR="00DB3D0A">
              <w:rPr>
                <w:rFonts w:ascii="Arial" w:hAnsi="Arial" w:cs="Arial"/>
                <w:sz w:val="20"/>
              </w:rPr>
              <w:t xml:space="preserve">. </w:t>
            </w:r>
            <w:r w:rsidR="00A34284">
              <w:rPr>
                <w:rFonts w:ascii="Arial" w:hAnsi="Arial" w:cs="Arial"/>
                <w:sz w:val="20"/>
              </w:rPr>
              <w:t xml:space="preserve">Leadership ; aisance dans les contacts et la communication ; capacité d’écoute ; </w:t>
            </w:r>
            <w:r w:rsidR="007576E7">
              <w:rPr>
                <w:rFonts w:ascii="Arial" w:hAnsi="Arial" w:cs="Arial"/>
                <w:sz w:val="20"/>
              </w:rPr>
              <w:t>esprit d'analyse et de</w:t>
            </w:r>
            <w:r w:rsidR="0015461E">
              <w:rPr>
                <w:rFonts w:ascii="Arial" w:hAnsi="Arial" w:cs="Arial"/>
                <w:sz w:val="20"/>
              </w:rPr>
              <w:t xml:space="preserve"> synthèse</w:t>
            </w:r>
            <w:r w:rsidR="00E8614F">
              <w:rPr>
                <w:rFonts w:ascii="Arial" w:hAnsi="Arial" w:cs="Arial"/>
                <w:sz w:val="20"/>
              </w:rPr>
              <w:t> ;</w:t>
            </w:r>
            <w:r w:rsidR="007576E7">
              <w:rPr>
                <w:rFonts w:ascii="Arial" w:hAnsi="Arial" w:cs="Arial"/>
                <w:sz w:val="20"/>
              </w:rPr>
              <w:t xml:space="preserve"> fiabilité, précision, autonom</w:t>
            </w:r>
            <w:r w:rsidR="007D1180">
              <w:rPr>
                <w:rFonts w:ascii="Arial" w:hAnsi="Arial" w:cs="Arial"/>
                <w:sz w:val="20"/>
              </w:rPr>
              <w:t>i</w:t>
            </w:r>
            <w:r w:rsidR="007576E7">
              <w:rPr>
                <w:rFonts w:ascii="Arial" w:hAnsi="Arial" w:cs="Arial"/>
                <w:sz w:val="20"/>
              </w:rPr>
              <w:t>e et flexibilité</w:t>
            </w:r>
            <w:r w:rsidR="00E8614F">
              <w:rPr>
                <w:rFonts w:ascii="Arial" w:hAnsi="Arial" w:cs="Arial"/>
                <w:sz w:val="20"/>
              </w:rPr>
              <w:t> ;</w:t>
            </w:r>
            <w:r w:rsidR="00D75D9C">
              <w:rPr>
                <w:rFonts w:ascii="Arial" w:hAnsi="Arial" w:cs="Arial"/>
                <w:sz w:val="20"/>
              </w:rPr>
              <w:t xml:space="preserve"> </w:t>
            </w:r>
            <w:r w:rsidR="007576E7">
              <w:rPr>
                <w:rFonts w:ascii="Arial" w:hAnsi="Arial" w:cs="Arial"/>
                <w:sz w:val="20"/>
              </w:rPr>
              <w:t xml:space="preserve">grande </w:t>
            </w:r>
            <w:r w:rsidR="00D75D9C">
              <w:rPr>
                <w:rFonts w:ascii="Arial" w:hAnsi="Arial" w:cs="Arial"/>
                <w:sz w:val="20"/>
              </w:rPr>
              <w:t>aisance rédactionnelle</w:t>
            </w:r>
            <w:r w:rsidR="00E8614F">
              <w:rPr>
                <w:rFonts w:ascii="Arial" w:hAnsi="Arial" w:cs="Arial"/>
                <w:sz w:val="20"/>
              </w:rPr>
              <w:t> ;</w:t>
            </w:r>
            <w:r w:rsidR="00D75D9C">
              <w:rPr>
                <w:rFonts w:ascii="Arial" w:hAnsi="Arial" w:cs="Arial"/>
                <w:sz w:val="20"/>
              </w:rPr>
              <w:t xml:space="preserve"> bonnes connaissances d'allemand.</w:t>
            </w:r>
            <w:r w:rsidR="00DB3D0A">
              <w:rPr>
                <w:rFonts w:ascii="Arial" w:hAnsi="Arial" w:cs="Arial"/>
                <w:sz w:val="20"/>
              </w:rPr>
              <w:t xml:space="preserve"> Discrétion absolue requise. </w:t>
            </w:r>
            <w:r w:rsidR="007005A1">
              <w:rPr>
                <w:rFonts w:ascii="Arial" w:hAnsi="Arial" w:cs="Arial"/>
                <w:sz w:val="20"/>
              </w:rPr>
              <w:t>Extrait des poursuites et c</w:t>
            </w:r>
            <w:r w:rsidR="00DB3D0A">
              <w:rPr>
                <w:rFonts w:ascii="Arial" w:hAnsi="Arial" w:cs="Arial"/>
                <w:sz w:val="20"/>
              </w:rPr>
              <w:t>as</w:t>
            </w:r>
            <w:r w:rsidR="00A34284">
              <w:rPr>
                <w:rFonts w:ascii="Arial" w:hAnsi="Arial" w:cs="Arial"/>
                <w:sz w:val="20"/>
              </w:rPr>
              <w:t>ier judiciaire vierge</w:t>
            </w:r>
            <w:r w:rsidR="007005A1">
              <w:rPr>
                <w:rFonts w:ascii="Arial" w:hAnsi="Arial" w:cs="Arial"/>
                <w:sz w:val="20"/>
              </w:rPr>
              <w:t>s</w:t>
            </w:r>
            <w:r w:rsidR="00A34284">
              <w:rPr>
                <w:rFonts w:ascii="Arial" w:hAnsi="Arial" w:cs="Arial"/>
                <w:sz w:val="20"/>
              </w:rPr>
              <w:t>.</w:t>
            </w:r>
          </w:p>
        </w:tc>
      </w:tr>
      <w:tr w:rsidR="00273775" w:rsidRPr="00034DFE" w:rsidTr="000033EA">
        <w:tc>
          <w:tcPr>
            <w:tcW w:w="131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034DFE" w:rsidRDefault="00D75D9C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Neuchâtel</w:t>
            </w:r>
          </w:p>
        </w:tc>
      </w:tr>
      <w:tr w:rsidR="00273775" w:rsidRPr="00034DFE" w:rsidTr="000033EA">
        <w:tc>
          <w:tcPr>
            <w:tcW w:w="131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1C47" w:rsidRPr="00034DFE" w:rsidRDefault="007005A1" w:rsidP="000D523C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7005A1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octobre 2021</w:t>
            </w:r>
          </w:p>
        </w:tc>
      </w:tr>
      <w:tr w:rsidR="00273775" w:rsidRPr="00920BA3" w:rsidTr="000033EA">
        <w:tc>
          <w:tcPr>
            <w:tcW w:w="1315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920BA3" w:rsidRDefault="007005A1" w:rsidP="00FC1890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 mai 2021</w:t>
            </w:r>
          </w:p>
        </w:tc>
      </w:tr>
      <w:tr w:rsidR="00273775" w:rsidRPr="00034DFE" w:rsidTr="000033EA">
        <w:tc>
          <w:tcPr>
            <w:tcW w:w="131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8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CF66DC" w:rsidRDefault="00FC1890" w:rsidP="008B16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Mme </w:t>
            </w:r>
            <w:r w:rsidR="000D523C">
              <w:rPr>
                <w:rFonts w:ascii="Arial" w:hAnsi="Arial" w:cs="Arial"/>
                <w:sz w:val="20"/>
                <w:szCs w:val="20"/>
                <w:lang w:val="fr-FR"/>
              </w:rPr>
              <w:t>Celia Clerc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présidente de </w:t>
            </w:r>
            <w:r w:rsidR="000D523C">
              <w:rPr>
                <w:rFonts w:ascii="Arial" w:hAnsi="Arial" w:cs="Arial"/>
                <w:sz w:val="20"/>
                <w:szCs w:val="20"/>
                <w:lang w:val="fr-FR"/>
              </w:rPr>
              <w:t>commission administrative des autorités judiciaires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8B16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tél. 032 889 61 60</w:t>
            </w:r>
            <w:r w:rsidR="00977B13">
              <w:rPr>
                <w:rFonts w:ascii="Arial" w:hAnsi="Arial" w:cs="Arial"/>
                <w:sz w:val="20"/>
                <w:szCs w:val="20"/>
                <w:lang w:val="fr-FR"/>
              </w:rPr>
              <w:t xml:space="preserve">    </w:t>
            </w:r>
            <w:r w:rsidR="00D75D9C">
              <w:rPr>
                <w:rFonts w:ascii="Arial" w:hAnsi="Arial" w:cs="Arial"/>
                <w:sz w:val="20"/>
              </w:rPr>
              <w:t xml:space="preserve"> </w:t>
            </w:r>
            <w:r w:rsidR="00D75D9C">
              <w:rPr>
                <w:rFonts w:ascii="Arial" w:hAnsi="Arial" w:cs="Arial"/>
                <w:sz w:val="20"/>
              </w:rPr>
              <w:br/>
              <w:t>M.</w:t>
            </w:r>
            <w:r w:rsidR="00977B13">
              <w:rPr>
                <w:rFonts w:ascii="Arial" w:hAnsi="Arial" w:cs="Arial"/>
                <w:sz w:val="20"/>
              </w:rPr>
              <w:t xml:space="preserve"> Stéphane </w:t>
            </w:r>
            <w:r w:rsidR="00D75D9C">
              <w:rPr>
                <w:rFonts w:ascii="Arial" w:hAnsi="Arial" w:cs="Arial"/>
                <w:sz w:val="20"/>
              </w:rPr>
              <w:t xml:space="preserve">Forestier, secrétaire général </w:t>
            </w:r>
            <w:r w:rsidR="000D523C">
              <w:rPr>
                <w:rFonts w:ascii="Arial" w:hAnsi="Arial" w:cs="Arial"/>
                <w:sz w:val="20"/>
              </w:rPr>
              <w:t>des autorités judiciaires</w:t>
            </w:r>
            <w:r w:rsidR="00D75D9C">
              <w:rPr>
                <w:rFonts w:ascii="Arial" w:hAnsi="Arial" w:cs="Arial"/>
                <w:sz w:val="20"/>
              </w:rPr>
              <w:t xml:space="preserve">, </w:t>
            </w:r>
            <w:r w:rsidR="00977B13">
              <w:rPr>
                <w:rFonts w:ascii="Arial" w:hAnsi="Arial" w:cs="Arial"/>
                <w:sz w:val="20"/>
              </w:rPr>
              <w:br/>
            </w:r>
            <w:r w:rsidR="00757F9F">
              <w:rPr>
                <w:rFonts w:ascii="Arial" w:hAnsi="Arial" w:cs="Arial"/>
                <w:sz w:val="20"/>
              </w:rPr>
              <w:t>t</w:t>
            </w:r>
            <w:r w:rsidR="00D75D9C">
              <w:rPr>
                <w:rFonts w:ascii="Arial" w:hAnsi="Arial" w:cs="Arial"/>
                <w:sz w:val="20"/>
              </w:rPr>
              <w:t>él. 032 889 51 88</w:t>
            </w:r>
          </w:p>
        </w:tc>
      </w:tr>
    </w:tbl>
    <w:p w:rsidR="009F7547" w:rsidRDefault="009F7547" w:rsidP="009F7547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0033EA" w:rsidRDefault="000033EA" w:rsidP="000033EA">
      <w:pPr>
        <w:rPr>
          <w:rFonts w:ascii="Arial" w:hAnsi="Arial" w:cs="Arial"/>
          <w:b/>
          <w:sz w:val="20"/>
        </w:rPr>
      </w:pPr>
    </w:p>
    <w:p w:rsidR="000033EA" w:rsidRDefault="000033EA" w:rsidP="000033EA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0033EA" w:rsidRDefault="000033EA" w:rsidP="009F7547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sectPr w:rsidR="000033EA" w:rsidSect="00053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C6" w:rsidRDefault="009032C6" w:rsidP="006862C4">
      <w:pPr>
        <w:spacing w:after="0" w:line="240" w:lineRule="auto"/>
      </w:pPr>
      <w:r>
        <w:separator/>
      </w:r>
    </w:p>
  </w:endnote>
  <w:endnote w:type="continuationSeparator" w:id="0">
    <w:p w:rsidR="009032C6" w:rsidRDefault="009032C6" w:rsidP="0068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C4" w:rsidRDefault="006862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C4" w:rsidRDefault="006862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C4" w:rsidRDefault="00686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C6" w:rsidRDefault="009032C6" w:rsidP="006862C4">
      <w:pPr>
        <w:spacing w:after="0" w:line="240" w:lineRule="auto"/>
      </w:pPr>
      <w:r>
        <w:separator/>
      </w:r>
    </w:p>
  </w:footnote>
  <w:footnote w:type="continuationSeparator" w:id="0">
    <w:p w:rsidR="009032C6" w:rsidRDefault="009032C6" w:rsidP="0068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C4" w:rsidRDefault="006862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C4" w:rsidRDefault="006862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C4" w:rsidRDefault="006862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030BE"/>
    <w:rsid w:val="000033EA"/>
    <w:rsid w:val="00011552"/>
    <w:rsid w:val="00022183"/>
    <w:rsid w:val="00034DFE"/>
    <w:rsid w:val="00046663"/>
    <w:rsid w:val="00053885"/>
    <w:rsid w:val="000D523C"/>
    <w:rsid w:val="000D55C6"/>
    <w:rsid w:val="001229A6"/>
    <w:rsid w:val="001270D4"/>
    <w:rsid w:val="00133D2B"/>
    <w:rsid w:val="0015461E"/>
    <w:rsid w:val="00165992"/>
    <w:rsid w:val="0016712D"/>
    <w:rsid w:val="00177A83"/>
    <w:rsid w:val="001A1C13"/>
    <w:rsid w:val="001E44A7"/>
    <w:rsid w:val="002075CD"/>
    <w:rsid w:val="0021142C"/>
    <w:rsid w:val="0021319E"/>
    <w:rsid w:val="0021779E"/>
    <w:rsid w:val="0023476A"/>
    <w:rsid w:val="00273775"/>
    <w:rsid w:val="00285CCA"/>
    <w:rsid w:val="002C5824"/>
    <w:rsid w:val="002D0AC8"/>
    <w:rsid w:val="00335298"/>
    <w:rsid w:val="00345E90"/>
    <w:rsid w:val="003475DB"/>
    <w:rsid w:val="00356E8A"/>
    <w:rsid w:val="003610BC"/>
    <w:rsid w:val="003816FE"/>
    <w:rsid w:val="003D0B53"/>
    <w:rsid w:val="003D6566"/>
    <w:rsid w:val="00424AA4"/>
    <w:rsid w:val="00467DF3"/>
    <w:rsid w:val="004F6414"/>
    <w:rsid w:val="00514DEB"/>
    <w:rsid w:val="00524A9E"/>
    <w:rsid w:val="00525677"/>
    <w:rsid w:val="00560EB5"/>
    <w:rsid w:val="00563628"/>
    <w:rsid w:val="005925CD"/>
    <w:rsid w:val="006526FC"/>
    <w:rsid w:val="00660BB6"/>
    <w:rsid w:val="00664000"/>
    <w:rsid w:val="00673900"/>
    <w:rsid w:val="006862C4"/>
    <w:rsid w:val="007005A1"/>
    <w:rsid w:val="00707E40"/>
    <w:rsid w:val="007145DD"/>
    <w:rsid w:val="00714BB1"/>
    <w:rsid w:val="00750EB8"/>
    <w:rsid w:val="007576E7"/>
    <w:rsid w:val="00757F9F"/>
    <w:rsid w:val="007670E7"/>
    <w:rsid w:val="007B784C"/>
    <w:rsid w:val="007D1180"/>
    <w:rsid w:val="007D44DE"/>
    <w:rsid w:val="007D496A"/>
    <w:rsid w:val="008A0191"/>
    <w:rsid w:val="008B16D5"/>
    <w:rsid w:val="009032C6"/>
    <w:rsid w:val="00920BA3"/>
    <w:rsid w:val="00975E57"/>
    <w:rsid w:val="00977B13"/>
    <w:rsid w:val="00983BF2"/>
    <w:rsid w:val="009A6A44"/>
    <w:rsid w:val="009F2D82"/>
    <w:rsid w:val="009F7547"/>
    <w:rsid w:val="009F7576"/>
    <w:rsid w:val="00A005CF"/>
    <w:rsid w:val="00A12F05"/>
    <w:rsid w:val="00A333A9"/>
    <w:rsid w:val="00A34284"/>
    <w:rsid w:val="00A54D4F"/>
    <w:rsid w:val="00A876A7"/>
    <w:rsid w:val="00AC35A6"/>
    <w:rsid w:val="00AC57E7"/>
    <w:rsid w:val="00AE3CB3"/>
    <w:rsid w:val="00B02119"/>
    <w:rsid w:val="00B03F59"/>
    <w:rsid w:val="00B5419E"/>
    <w:rsid w:val="00B96637"/>
    <w:rsid w:val="00BA0DE3"/>
    <w:rsid w:val="00BA2F8D"/>
    <w:rsid w:val="00BC476D"/>
    <w:rsid w:val="00C05AAC"/>
    <w:rsid w:val="00C13DCE"/>
    <w:rsid w:val="00C41832"/>
    <w:rsid w:val="00C41CE4"/>
    <w:rsid w:val="00C45DC1"/>
    <w:rsid w:val="00C635D5"/>
    <w:rsid w:val="00C646DC"/>
    <w:rsid w:val="00C73D6C"/>
    <w:rsid w:val="00CA0596"/>
    <w:rsid w:val="00CA342F"/>
    <w:rsid w:val="00CC3700"/>
    <w:rsid w:val="00CF66DC"/>
    <w:rsid w:val="00D2369E"/>
    <w:rsid w:val="00D42D64"/>
    <w:rsid w:val="00D43D0B"/>
    <w:rsid w:val="00D75D9C"/>
    <w:rsid w:val="00DB3D0A"/>
    <w:rsid w:val="00DE63A6"/>
    <w:rsid w:val="00E2655C"/>
    <w:rsid w:val="00E8614F"/>
    <w:rsid w:val="00FB37E5"/>
    <w:rsid w:val="00FC1890"/>
    <w:rsid w:val="00FC1C47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AC0F52F-B9D4-4683-9128-ED86B4B7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customStyle="1" w:styleId="xNom">
    <w:name w:val="xNom"/>
    <w:basedOn w:val="Normal"/>
    <w:rsid w:val="00424AA4"/>
    <w:pPr>
      <w:overflowPunct w:val="0"/>
      <w:autoSpaceDE w:val="0"/>
      <w:autoSpaceDN w:val="0"/>
      <w:spacing w:after="0" w:line="240" w:lineRule="auto"/>
    </w:pPr>
    <w:rPr>
      <w:rFonts w:ascii="Arial" w:hAnsi="Arial" w:cs="Arial"/>
      <w:b/>
      <w:bCs/>
      <w:sz w:val="28"/>
      <w:szCs w:val="28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68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2C4"/>
  </w:style>
  <w:style w:type="paragraph" w:styleId="Pieddepage">
    <w:name w:val="footer"/>
    <w:basedOn w:val="Normal"/>
    <w:link w:val="PieddepageCar"/>
    <w:uiPriority w:val="99"/>
    <w:unhideWhenUsed/>
    <w:rsid w:val="0068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F017-860E-49D0-BDF0-44637B1BCC2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0B3531-C20D-4CD2-8BB4-5D3B8D8E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2019-04-11T07:58:00Z</cp:lastPrinted>
  <dcterms:created xsi:type="dcterms:W3CDTF">2021-04-13T11:50:00Z</dcterms:created>
  <dcterms:modified xsi:type="dcterms:W3CDTF">2021-04-13T11:50:00Z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