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BE05387" w14:textId="77777777"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4BE053B5" wp14:editId="4BE053B6">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05388" w14:textId="77777777" w:rsidR="00920BA3" w:rsidRDefault="00920BA3" w:rsidP="00920BA3">
      <w:pPr>
        <w:pStyle w:val="NEntete1"/>
        <w:rPr>
          <w:sz w:val="12"/>
        </w:rPr>
      </w:pPr>
    </w:p>
    <w:p w14:paraId="4BE05389" w14:textId="77777777" w:rsidR="00920BA3" w:rsidRDefault="00920BA3" w:rsidP="00920BA3">
      <w:pPr>
        <w:pStyle w:val="NEntete1"/>
        <w:rPr>
          <w:sz w:val="12"/>
        </w:rPr>
      </w:pPr>
    </w:p>
    <w:p w14:paraId="4BE0538B" w14:textId="1BD32BF8" w:rsidR="00920BA3" w:rsidRPr="00920BA3" w:rsidRDefault="00920BA3" w:rsidP="00596829">
      <w:pPr>
        <w:pStyle w:val="NEntete1"/>
        <w:rPr>
          <w:sz w:val="12"/>
        </w:rPr>
      </w:pPr>
      <w:r w:rsidRPr="00920BA3">
        <w:rPr>
          <w:sz w:val="12"/>
        </w:rPr>
        <w:t xml:space="preserve">DÉPARTEMENT DE </w:t>
      </w:r>
      <w:r w:rsidR="00596829">
        <w:rPr>
          <w:sz w:val="12"/>
        </w:rPr>
        <w:t>l’Économie, de la sÉcurité et de la culture</w:t>
      </w:r>
    </w:p>
    <w:p w14:paraId="4BE0538C" w14:textId="608A799E" w:rsidR="00920BA3" w:rsidRPr="00920BA3" w:rsidRDefault="00920BA3" w:rsidP="00920BA3">
      <w:pPr>
        <w:pStyle w:val="NEntete2"/>
        <w:rPr>
          <w:sz w:val="10"/>
        </w:rPr>
      </w:pPr>
      <w:r w:rsidRPr="00920BA3">
        <w:rPr>
          <w:sz w:val="10"/>
        </w:rPr>
        <w:t>SERVICE DES RESSOURCES HUMAINES</w:t>
      </w:r>
      <w:r w:rsidR="0021558E">
        <w:rPr>
          <w:sz w:val="10"/>
        </w:rPr>
        <w:t xml:space="preserve"> DE L’ÉTAT</w:t>
      </w:r>
    </w:p>
    <w:p w14:paraId="4BE0538D" w14:textId="77777777" w:rsidR="00920BA3" w:rsidRPr="00CA0596" w:rsidRDefault="00920BA3" w:rsidP="00034DFE">
      <w:pPr>
        <w:rPr>
          <w:rFonts w:ascii="Arial" w:hAnsi="Arial" w:cs="Arial"/>
        </w:rPr>
      </w:pPr>
    </w:p>
    <w:p w14:paraId="19C28D55" w14:textId="6BB2A53F" w:rsidR="00B065E6" w:rsidRPr="00C56AB3" w:rsidRDefault="0021558E" w:rsidP="00975E57">
      <w:pPr>
        <w:rPr>
          <w:rFonts w:ascii="Arial" w:hAnsi="Arial" w:cs="Arial"/>
          <w:b/>
          <w:bCs/>
          <w:color w:val="548DD4" w:themeColor="text2" w:themeTint="99"/>
          <w:sz w:val="36"/>
        </w:rPr>
      </w:pPr>
      <w:r>
        <w:rPr>
          <w:rFonts w:ascii="Arial" w:hAnsi="Arial" w:cs="Arial"/>
          <w:b/>
          <w:bCs/>
          <w:color w:val="548DD4" w:themeColor="text2" w:themeTint="99"/>
          <w:sz w:val="36"/>
        </w:rPr>
        <w:t>Intervenante ou intervenant</w:t>
      </w:r>
      <w:r w:rsidR="00C57591">
        <w:rPr>
          <w:rFonts w:ascii="Arial" w:hAnsi="Arial" w:cs="Arial"/>
          <w:b/>
          <w:bCs/>
          <w:color w:val="548DD4" w:themeColor="text2" w:themeTint="99"/>
          <w:sz w:val="36"/>
        </w:rPr>
        <w:t xml:space="preserve"> en protection de l’enfant</w:t>
      </w:r>
      <w:r w:rsidR="002D22E0">
        <w:rPr>
          <w:rFonts w:ascii="Arial" w:hAnsi="Arial" w:cs="Arial"/>
          <w:b/>
          <w:bCs/>
          <w:color w:val="548DD4" w:themeColor="text2" w:themeTint="99"/>
          <w:sz w:val="36"/>
        </w:rPr>
        <w:t xml:space="preserve"> à </w:t>
      </w:r>
      <w:r w:rsidR="00596829">
        <w:rPr>
          <w:rFonts w:ascii="Arial" w:hAnsi="Arial" w:cs="Arial"/>
          <w:b/>
          <w:bCs/>
          <w:color w:val="548DD4" w:themeColor="text2" w:themeTint="99"/>
          <w:sz w:val="36"/>
        </w:rPr>
        <w:t>70</w:t>
      </w:r>
      <w:r w:rsidR="002D22E0">
        <w:rPr>
          <w:rFonts w:ascii="Arial" w:hAnsi="Arial" w:cs="Arial"/>
          <w:b/>
          <w:bCs/>
          <w:color w:val="548DD4" w:themeColor="text2" w:themeTint="99"/>
          <w:sz w:val="36"/>
        </w:rPr>
        <w:t>%</w:t>
      </w:r>
    </w:p>
    <w:p w14:paraId="7171B170" w14:textId="27B7766B" w:rsidR="008333D6" w:rsidRPr="0021558E" w:rsidRDefault="0097596B" w:rsidP="002D22E0">
      <w:pPr>
        <w:tabs>
          <w:tab w:val="left" w:pos="2268"/>
        </w:tabs>
        <w:rPr>
          <w:rFonts w:ascii="Arial" w:hAnsi="Arial" w:cs="Arial"/>
          <w:b/>
          <w:sz w:val="20"/>
          <w:szCs w:val="20"/>
        </w:rPr>
      </w:pPr>
      <w:r>
        <w:rPr>
          <w:rFonts w:ascii="Arial" w:hAnsi="Arial" w:cs="Arial"/>
          <w:b/>
          <w:sz w:val="20"/>
          <w:szCs w:val="20"/>
        </w:rPr>
        <w:t>SPAJ111-119-</w:t>
      </w:r>
      <w:r w:rsidR="008333D6" w:rsidRPr="0021558E">
        <w:rPr>
          <w:rFonts w:ascii="Arial" w:hAnsi="Arial" w:cs="Arial"/>
          <w:b/>
          <w:sz w:val="20"/>
          <w:szCs w:val="20"/>
        </w:rPr>
        <w:t>123</w:t>
      </w:r>
      <w:r>
        <w:rPr>
          <w:rFonts w:ascii="Arial" w:hAnsi="Arial" w:cs="Arial"/>
          <w:b/>
          <w:sz w:val="20"/>
          <w:szCs w:val="20"/>
        </w:rPr>
        <w:t>-</w:t>
      </w:r>
      <w:r w:rsidR="008333D6" w:rsidRPr="0021558E">
        <w:rPr>
          <w:rFonts w:ascii="Arial" w:hAnsi="Arial" w:cs="Arial"/>
          <w:b/>
          <w:sz w:val="20"/>
          <w:szCs w:val="20"/>
        </w:rPr>
        <w:t>138</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14:paraId="4BE05398" w14:textId="77777777" w:rsidTr="00273775">
        <w:tc>
          <w:tcPr>
            <w:tcW w:w="1356" w:type="pct"/>
            <w:shd w:val="clear" w:color="auto" w:fill="auto"/>
            <w:tcMar>
              <w:top w:w="0" w:type="dxa"/>
              <w:left w:w="70" w:type="dxa"/>
              <w:bottom w:w="0" w:type="dxa"/>
              <w:right w:w="70" w:type="dxa"/>
            </w:tcMar>
            <w:hideMark/>
          </w:tcPr>
          <w:p w14:paraId="4BE05396" w14:textId="36EE5400"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21558E">
              <w:rPr>
                <w:rFonts w:ascii="Arial" w:hAnsi="Arial" w:cs="Arial"/>
                <w:b/>
                <w:color w:val="548DD4" w:themeColor="text2" w:themeTint="99"/>
                <w:sz w:val="20"/>
              </w:rPr>
              <w:t xml:space="preserve">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BE05397" w14:textId="45C8799D" w:rsidR="00CA0596" w:rsidRPr="00034DFE" w:rsidRDefault="00CA0596" w:rsidP="00596829">
            <w:pPr>
              <w:spacing w:before="120" w:after="60" w:line="240" w:lineRule="auto"/>
              <w:jc w:val="both"/>
              <w:rPr>
                <w:rFonts w:ascii="Arial" w:hAnsi="Arial" w:cs="Arial"/>
                <w:sz w:val="20"/>
              </w:rPr>
            </w:pPr>
            <w:r w:rsidRPr="00034DFE">
              <w:rPr>
                <w:rFonts w:ascii="Arial" w:hAnsi="Arial" w:cs="Arial"/>
                <w:sz w:val="20"/>
              </w:rPr>
              <w:t xml:space="preserve">Département de </w:t>
            </w:r>
            <w:r w:rsidR="00596829">
              <w:rPr>
                <w:rFonts w:ascii="Arial" w:hAnsi="Arial" w:cs="Arial"/>
                <w:sz w:val="20"/>
              </w:rPr>
              <w:t xml:space="preserve">la </w:t>
            </w:r>
            <w:r w:rsidR="0021558E">
              <w:rPr>
                <w:rFonts w:ascii="Arial" w:hAnsi="Arial" w:cs="Arial"/>
                <w:sz w:val="20"/>
              </w:rPr>
              <w:t>formation, de la digitalisation et des s</w:t>
            </w:r>
            <w:r w:rsidR="00596829">
              <w:rPr>
                <w:rFonts w:ascii="Arial" w:hAnsi="Arial" w:cs="Arial"/>
                <w:sz w:val="20"/>
              </w:rPr>
              <w:t>ports</w:t>
            </w:r>
          </w:p>
        </w:tc>
      </w:tr>
      <w:tr w:rsidR="00273775" w:rsidRPr="00034DFE" w14:paraId="4BE0539B" w14:textId="77777777" w:rsidTr="00273775">
        <w:tc>
          <w:tcPr>
            <w:tcW w:w="1356" w:type="pct"/>
            <w:shd w:val="clear" w:color="auto" w:fill="auto"/>
            <w:tcMar>
              <w:top w:w="0" w:type="dxa"/>
              <w:left w:w="70" w:type="dxa"/>
              <w:bottom w:w="0" w:type="dxa"/>
              <w:right w:w="70" w:type="dxa"/>
            </w:tcMar>
            <w:hideMark/>
          </w:tcPr>
          <w:p w14:paraId="4BE05399"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Service :</w:t>
            </w:r>
          </w:p>
        </w:tc>
        <w:tc>
          <w:tcPr>
            <w:tcW w:w="3644" w:type="pct"/>
            <w:shd w:val="clear" w:color="auto" w:fill="auto"/>
            <w:tcMar>
              <w:top w:w="0" w:type="dxa"/>
              <w:left w:w="70" w:type="dxa"/>
              <w:bottom w:w="0" w:type="dxa"/>
              <w:right w:w="70" w:type="dxa"/>
            </w:tcMar>
            <w:vAlign w:val="center"/>
            <w:hideMark/>
          </w:tcPr>
          <w:p w14:paraId="4BE0539A" w14:textId="685024F7" w:rsidR="00CA0596" w:rsidRPr="00034DFE" w:rsidRDefault="00BC476D" w:rsidP="00B065E6">
            <w:pPr>
              <w:spacing w:before="120" w:after="60" w:line="240" w:lineRule="auto"/>
              <w:jc w:val="both"/>
              <w:rPr>
                <w:rFonts w:ascii="Arial" w:hAnsi="Arial" w:cs="Arial"/>
                <w:sz w:val="20"/>
              </w:rPr>
            </w:pPr>
            <w:r>
              <w:rPr>
                <w:rFonts w:ascii="Arial" w:hAnsi="Arial" w:cs="Arial"/>
                <w:sz w:val="20"/>
              </w:rPr>
              <w:t>Service de</w:t>
            </w:r>
            <w:r w:rsidR="002D22E0">
              <w:rPr>
                <w:rFonts w:ascii="Arial" w:hAnsi="Arial" w:cs="Arial"/>
                <w:sz w:val="20"/>
              </w:rPr>
              <w:t xml:space="preserve"> protection de l'adulte et de la jeunesse – Office de protection de l'</w:t>
            </w:r>
            <w:r w:rsidR="00B065E6">
              <w:rPr>
                <w:rFonts w:ascii="Arial" w:hAnsi="Arial" w:cs="Arial"/>
                <w:sz w:val="20"/>
              </w:rPr>
              <w:t>enfant</w:t>
            </w:r>
          </w:p>
        </w:tc>
      </w:tr>
      <w:tr w:rsidR="00273775" w:rsidRPr="00034DFE" w14:paraId="4BE0539E" w14:textId="77777777" w:rsidTr="00273775">
        <w:trPr>
          <w:trHeight w:val="266"/>
        </w:trPr>
        <w:tc>
          <w:tcPr>
            <w:tcW w:w="1356" w:type="pct"/>
            <w:shd w:val="clear" w:color="auto" w:fill="auto"/>
            <w:tcMar>
              <w:top w:w="0" w:type="dxa"/>
              <w:left w:w="70" w:type="dxa"/>
              <w:bottom w:w="0" w:type="dxa"/>
              <w:right w:w="70" w:type="dxa"/>
            </w:tcMar>
            <w:hideMark/>
          </w:tcPr>
          <w:p w14:paraId="4BE0539C"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Activités :</w:t>
            </w:r>
          </w:p>
        </w:tc>
        <w:tc>
          <w:tcPr>
            <w:tcW w:w="3644" w:type="pct"/>
            <w:shd w:val="clear" w:color="auto" w:fill="auto"/>
            <w:tcMar>
              <w:top w:w="0" w:type="dxa"/>
              <w:left w:w="70" w:type="dxa"/>
              <w:bottom w:w="0" w:type="dxa"/>
              <w:right w:w="70" w:type="dxa"/>
            </w:tcMar>
            <w:vAlign w:val="center"/>
            <w:hideMark/>
          </w:tcPr>
          <w:p w14:paraId="4BE0539D" w14:textId="4DBCA39E" w:rsidR="00BC476D" w:rsidRPr="00034DFE" w:rsidRDefault="00B065E6" w:rsidP="002D22E0">
            <w:pPr>
              <w:spacing w:before="120" w:after="60" w:line="240" w:lineRule="auto"/>
              <w:jc w:val="both"/>
              <w:rPr>
                <w:rFonts w:ascii="Arial" w:hAnsi="Arial" w:cs="Arial"/>
                <w:sz w:val="20"/>
              </w:rPr>
            </w:pPr>
            <w:r w:rsidRPr="00B065E6">
              <w:rPr>
                <w:rFonts w:ascii="Arial" w:hAnsi="Arial" w:cs="Arial"/>
                <w:sz w:val="20"/>
              </w:rPr>
              <w:t>Travail social polyvalent de protection de la jeunesse en collaboration avec les familles et les institutions. La fonction a notamment pour tâches d'effectuer les enquêtes sociales pour les Autorités judiciaires (civiles, pénales) et administratives, d'assumer les mandats tutélaires civils et pénaux, de répondre aux consultations et de prendre en charge les</w:t>
            </w:r>
            <w:r w:rsidR="00596829">
              <w:rPr>
                <w:rFonts w:ascii="Arial" w:hAnsi="Arial" w:cs="Arial"/>
                <w:sz w:val="20"/>
              </w:rPr>
              <w:t xml:space="preserve"> mandats officieux et d’adoption</w:t>
            </w:r>
            <w:r w:rsidRPr="00B065E6">
              <w:rPr>
                <w:rFonts w:ascii="Arial" w:hAnsi="Arial" w:cs="Arial"/>
                <w:sz w:val="20"/>
              </w:rPr>
              <w:t>.</w:t>
            </w:r>
          </w:p>
        </w:tc>
      </w:tr>
      <w:tr w:rsidR="00273775" w:rsidRPr="00034DFE" w14:paraId="4BE053A1" w14:textId="77777777" w:rsidTr="00273775">
        <w:tc>
          <w:tcPr>
            <w:tcW w:w="1356" w:type="pct"/>
            <w:shd w:val="clear" w:color="auto" w:fill="auto"/>
            <w:tcMar>
              <w:top w:w="0" w:type="dxa"/>
              <w:left w:w="70" w:type="dxa"/>
              <w:bottom w:w="0" w:type="dxa"/>
              <w:right w:w="70" w:type="dxa"/>
            </w:tcMar>
            <w:hideMark/>
          </w:tcPr>
          <w:p w14:paraId="4BE0539F"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Profil souhaité :</w:t>
            </w:r>
          </w:p>
        </w:tc>
        <w:tc>
          <w:tcPr>
            <w:tcW w:w="3644" w:type="pct"/>
            <w:shd w:val="clear" w:color="auto" w:fill="auto"/>
            <w:tcMar>
              <w:top w:w="0" w:type="dxa"/>
              <w:left w:w="70" w:type="dxa"/>
              <w:bottom w:w="0" w:type="dxa"/>
              <w:right w:w="70" w:type="dxa"/>
            </w:tcMar>
            <w:vAlign w:val="center"/>
            <w:hideMark/>
          </w:tcPr>
          <w:p w14:paraId="4BE053A0" w14:textId="38F455FD" w:rsidR="007B7BCF" w:rsidRPr="00034DFE" w:rsidRDefault="00B065E6" w:rsidP="00B2417A">
            <w:pPr>
              <w:spacing w:before="120" w:after="60" w:line="240" w:lineRule="auto"/>
              <w:jc w:val="both"/>
              <w:rPr>
                <w:rFonts w:ascii="Arial" w:hAnsi="Arial" w:cs="Arial"/>
                <w:sz w:val="20"/>
              </w:rPr>
            </w:pPr>
            <w:r w:rsidRPr="00B065E6">
              <w:rPr>
                <w:rFonts w:ascii="Arial" w:hAnsi="Arial" w:cs="Arial"/>
                <w:sz w:val="20"/>
              </w:rPr>
              <w:t>Diplôme d'</w:t>
            </w:r>
            <w:proofErr w:type="spellStart"/>
            <w:r w:rsidRPr="00B065E6">
              <w:rPr>
                <w:rFonts w:ascii="Arial" w:hAnsi="Arial" w:cs="Arial"/>
                <w:sz w:val="20"/>
              </w:rPr>
              <w:t>assistant-e</w:t>
            </w:r>
            <w:proofErr w:type="spellEnd"/>
            <w:r w:rsidRPr="00B065E6">
              <w:rPr>
                <w:rFonts w:ascii="Arial" w:hAnsi="Arial" w:cs="Arial"/>
                <w:sz w:val="20"/>
              </w:rPr>
              <w:t xml:space="preserve"> </w:t>
            </w:r>
            <w:proofErr w:type="spellStart"/>
            <w:r w:rsidRPr="00B065E6">
              <w:rPr>
                <w:rFonts w:ascii="Arial" w:hAnsi="Arial" w:cs="Arial"/>
                <w:sz w:val="20"/>
              </w:rPr>
              <w:t>social-e</w:t>
            </w:r>
            <w:proofErr w:type="spellEnd"/>
            <w:r w:rsidRPr="00B065E6">
              <w:rPr>
                <w:rFonts w:ascii="Arial" w:hAnsi="Arial" w:cs="Arial"/>
                <w:sz w:val="20"/>
              </w:rPr>
              <w:t xml:space="preserve">, </w:t>
            </w:r>
            <w:r w:rsidR="00B2417A">
              <w:rPr>
                <w:rFonts w:ascii="Arial" w:hAnsi="Arial" w:cs="Arial"/>
                <w:sz w:val="20"/>
              </w:rPr>
              <w:t>titulaire d’un diplôme</w:t>
            </w:r>
            <w:r w:rsidRPr="00B065E6">
              <w:rPr>
                <w:rFonts w:ascii="Arial" w:hAnsi="Arial" w:cs="Arial"/>
                <w:sz w:val="20"/>
              </w:rPr>
              <w:t xml:space="preserve"> en sciences so</w:t>
            </w:r>
            <w:r w:rsidR="004A4E0B">
              <w:rPr>
                <w:rFonts w:ascii="Arial" w:hAnsi="Arial" w:cs="Arial"/>
                <w:sz w:val="20"/>
              </w:rPr>
              <w:t>ciales ou titre jugé équivalent ;</w:t>
            </w:r>
            <w:r w:rsidRPr="00B065E6">
              <w:rPr>
                <w:rFonts w:ascii="Arial" w:hAnsi="Arial" w:cs="Arial"/>
                <w:sz w:val="20"/>
              </w:rPr>
              <w:t xml:space="preserve"> facul</w:t>
            </w:r>
            <w:r w:rsidR="004A4E0B">
              <w:rPr>
                <w:rFonts w:ascii="Arial" w:hAnsi="Arial" w:cs="Arial"/>
                <w:sz w:val="20"/>
              </w:rPr>
              <w:t>té à s'intégrer dans une équipe ;</w:t>
            </w:r>
            <w:r w:rsidRPr="00B065E6">
              <w:rPr>
                <w:rFonts w:ascii="Arial" w:hAnsi="Arial" w:cs="Arial"/>
                <w:sz w:val="20"/>
              </w:rPr>
              <w:t xml:space="preserve"> capacités pour le travail en réseau.</w:t>
            </w:r>
            <w:r w:rsidR="001D1210">
              <w:rPr>
                <w:rFonts w:ascii="Arial" w:hAnsi="Arial" w:cs="Arial"/>
                <w:sz w:val="20"/>
              </w:rPr>
              <w:t xml:space="preserve"> Titulaire d’un permis de conduire.</w:t>
            </w:r>
            <w:r w:rsidRPr="00B065E6">
              <w:rPr>
                <w:rFonts w:ascii="Arial" w:hAnsi="Arial" w:cs="Arial"/>
                <w:sz w:val="20"/>
              </w:rPr>
              <w:t xml:space="preserve"> </w:t>
            </w:r>
            <w:r w:rsidR="000B041C">
              <w:rPr>
                <w:rFonts w:ascii="Arial" w:hAnsi="Arial" w:cs="Arial"/>
                <w:sz w:val="20"/>
              </w:rPr>
              <w:t>Pouvoir justifier de l’obtention d’un diplôme en protection de l’enfant (p. ex. CAS) serait un atout</w:t>
            </w:r>
            <w:r w:rsidRPr="00B065E6">
              <w:rPr>
                <w:rFonts w:ascii="Arial" w:hAnsi="Arial" w:cs="Arial"/>
                <w:sz w:val="20"/>
              </w:rPr>
              <w:t>.</w:t>
            </w:r>
          </w:p>
        </w:tc>
      </w:tr>
      <w:tr w:rsidR="00273775" w:rsidRPr="00034DFE" w14:paraId="4BE053A4" w14:textId="77777777" w:rsidTr="00273775">
        <w:tc>
          <w:tcPr>
            <w:tcW w:w="1356" w:type="pct"/>
            <w:shd w:val="clear" w:color="auto" w:fill="auto"/>
            <w:tcMar>
              <w:top w:w="0" w:type="dxa"/>
              <w:left w:w="70" w:type="dxa"/>
              <w:bottom w:w="0" w:type="dxa"/>
              <w:right w:w="70" w:type="dxa"/>
            </w:tcMar>
            <w:hideMark/>
          </w:tcPr>
          <w:p w14:paraId="4BE053A2"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Lieu de travail :</w:t>
            </w:r>
          </w:p>
        </w:tc>
        <w:tc>
          <w:tcPr>
            <w:tcW w:w="3644" w:type="pct"/>
            <w:shd w:val="clear" w:color="auto" w:fill="auto"/>
            <w:tcMar>
              <w:top w:w="0" w:type="dxa"/>
              <w:left w:w="70" w:type="dxa"/>
              <w:bottom w:w="0" w:type="dxa"/>
              <w:right w:w="70" w:type="dxa"/>
            </w:tcMar>
            <w:vAlign w:val="center"/>
            <w:hideMark/>
          </w:tcPr>
          <w:p w14:paraId="4BE053A3" w14:textId="4D7B0631" w:rsidR="00BC476D" w:rsidRPr="00034DFE" w:rsidRDefault="00596829" w:rsidP="009770C7">
            <w:pPr>
              <w:spacing w:before="120" w:after="60" w:line="240" w:lineRule="auto"/>
              <w:jc w:val="both"/>
              <w:rPr>
                <w:rFonts w:ascii="Arial" w:hAnsi="Arial" w:cs="Arial"/>
                <w:sz w:val="20"/>
              </w:rPr>
            </w:pPr>
            <w:r>
              <w:rPr>
                <w:rFonts w:ascii="Arial" w:hAnsi="Arial" w:cs="Arial"/>
                <w:sz w:val="20"/>
              </w:rPr>
              <w:t>Neuchâtel</w:t>
            </w:r>
          </w:p>
        </w:tc>
      </w:tr>
      <w:tr w:rsidR="00273775" w:rsidRPr="00034DFE" w14:paraId="4BE053A8" w14:textId="77777777" w:rsidTr="00273775">
        <w:tc>
          <w:tcPr>
            <w:tcW w:w="1356" w:type="pct"/>
            <w:shd w:val="clear" w:color="auto" w:fill="auto"/>
            <w:noWrap/>
            <w:tcMar>
              <w:top w:w="0" w:type="dxa"/>
              <w:left w:w="70" w:type="dxa"/>
              <w:bottom w:w="0" w:type="dxa"/>
              <w:right w:w="70" w:type="dxa"/>
            </w:tcMar>
            <w:hideMark/>
          </w:tcPr>
          <w:p w14:paraId="4BE053A5" w14:textId="77777777"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Entrée en fonction :</w:t>
            </w:r>
          </w:p>
        </w:tc>
        <w:tc>
          <w:tcPr>
            <w:tcW w:w="3644" w:type="pct"/>
            <w:shd w:val="clear" w:color="auto" w:fill="auto"/>
            <w:tcMar>
              <w:top w:w="0" w:type="dxa"/>
              <w:left w:w="70" w:type="dxa"/>
              <w:bottom w:w="0" w:type="dxa"/>
              <w:right w:w="70" w:type="dxa"/>
            </w:tcMar>
            <w:vAlign w:val="center"/>
            <w:hideMark/>
          </w:tcPr>
          <w:p w14:paraId="4BE053A6" w14:textId="58B0950B" w:rsidR="00BC476D" w:rsidRDefault="00596829" w:rsidP="001229A6">
            <w:pPr>
              <w:spacing w:before="120" w:after="60" w:line="240" w:lineRule="auto"/>
              <w:rPr>
                <w:rFonts w:ascii="Arial" w:hAnsi="Arial" w:cs="Arial"/>
                <w:sz w:val="20"/>
              </w:rPr>
            </w:pPr>
            <w:r>
              <w:rPr>
                <w:rFonts w:ascii="Arial" w:hAnsi="Arial" w:cs="Arial"/>
                <w:sz w:val="20"/>
              </w:rPr>
              <w:t>1</w:t>
            </w:r>
            <w:r w:rsidRPr="00596829">
              <w:rPr>
                <w:rFonts w:ascii="Arial" w:hAnsi="Arial" w:cs="Arial"/>
                <w:sz w:val="20"/>
                <w:vertAlign w:val="superscript"/>
              </w:rPr>
              <w:t>er</w:t>
            </w:r>
            <w:r>
              <w:rPr>
                <w:rFonts w:ascii="Arial" w:hAnsi="Arial" w:cs="Arial"/>
                <w:sz w:val="20"/>
              </w:rPr>
              <w:t xml:space="preserve"> octobre 2021</w:t>
            </w:r>
          </w:p>
          <w:p w14:paraId="4BE053A7" w14:textId="199C027C" w:rsidR="00FC1C47" w:rsidRPr="00034DFE" w:rsidRDefault="0021558E" w:rsidP="009770C7">
            <w:pPr>
              <w:spacing w:before="120" w:after="60" w:line="240" w:lineRule="auto"/>
              <w:rPr>
                <w:rFonts w:ascii="Arial" w:hAnsi="Arial" w:cs="Arial"/>
                <w:sz w:val="20"/>
              </w:rPr>
            </w:pPr>
            <w:r>
              <w:rPr>
                <w:rFonts w:ascii="Arial" w:hAnsi="Arial" w:cs="Arial"/>
                <w:sz w:val="20"/>
              </w:rPr>
              <w:t>Classe</w:t>
            </w:r>
            <w:r w:rsidR="002D22E0">
              <w:rPr>
                <w:rFonts w:ascii="Arial" w:hAnsi="Arial" w:cs="Arial"/>
                <w:sz w:val="20"/>
              </w:rPr>
              <w:t xml:space="preserve"> </w:t>
            </w:r>
            <w:r w:rsidR="009770C7">
              <w:rPr>
                <w:rFonts w:ascii="Arial" w:hAnsi="Arial" w:cs="Arial"/>
                <w:sz w:val="20"/>
              </w:rPr>
              <w:t>9</w:t>
            </w:r>
          </w:p>
        </w:tc>
      </w:tr>
      <w:tr w:rsidR="00273775" w:rsidRPr="00920BA3" w14:paraId="4BE053AB" w14:textId="77777777" w:rsidTr="00273775">
        <w:tc>
          <w:tcPr>
            <w:tcW w:w="1356" w:type="pct"/>
            <w:shd w:val="clear" w:color="auto" w:fill="auto"/>
            <w:noWrap/>
            <w:tcMar>
              <w:top w:w="0" w:type="dxa"/>
              <w:left w:w="70" w:type="dxa"/>
              <w:bottom w:w="0" w:type="dxa"/>
              <w:right w:w="70" w:type="dxa"/>
            </w:tcMar>
            <w:hideMark/>
          </w:tcPr>
          <w:p w14:paraId="4BE053A9" w14:textId="77777777"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Délai de postulation :</w:t>
            </w:r>
          </w:p>
        </w:tc>
        <w:tc>
          <w:tcPr>
            <w:tcW w:w="3644" w:type="pct"/>
            <w:shd w:val="clear" w:color="auto" w:fill="auto"/>
            <w:tcMar>
              <w:top w:w="0" w:type="dxa"/>
              <w:left w:w="70" w:type="dxa"/>
              <w:bottom w:w="0" w:type="dxa"/>
              <w:right w:w="70" w:type="dxa"/>
            </w:tcMar>
            <w:vAlign w:val="center"/>
            <w:hideMark/>
          </w:tcPr>
          <w:p w14:paraId="4BE053AA" w14:textId="397BE8A7" w:rsidR="00CA0596" w:rsidRPr="00EF2CCB" w:rsidRDefault="00E74E69" w:rsidP="001D1210">
            <w:pPr>
              <w:spacing w:before="120" w:after="60" w:line="240" w:lineRule="auto"/>
              <w:rPr>
                <w:rFonts w:ascii="Arial" w:hAnsi="Arial" w:cs="Arial"/>
                <w:color w:val="000000" w:themeColor="text1"/>
                <w:sz w:val="20"/>
              </w:rPr>
            </w:pPr>
            <w:r>
              <w:rPr>
                <w:rFonts w:ascii="Arial" w:hAnsi="Arial" w:cs="Arial"/>
                <w:color w:val="000000" w:themeColor="text1"/>
                <w:sz w:val="20"/>
              </w:rPr>
              <w:t>1</w:t>
            </w:r>
            <w:r w:rsidRPr="00E74E69">
              <w:rPr>
                <w:rFonts w:ascii="Arial" w:hAnsi="Arial" w:cs="Arial"/>
                <w:color w:val="000000" w:themeColor="text1"/>
                <w:sz w:val="20"/>
                <w:vertAlign w:val="superscript"/>
              </w:rPr>
              <w:t>er</w:t>
            </w:r>
            <w:r>
              <w:rPr>
                <w:rFonts w:ascii="Arial" w:hAnsi="Arial" w:cs="Arial"/>
                <w:color w:val="000000" w:themeColor="text1"/>
                <w:sz w:val="20"/>
              </w:rPr>
              <w:t xml:space="preserve"> août</w:t>
            </w:r>
            <w:r w:rsidR="0021558E" w:rsidRPr="0021558E">
              <w:rPr>
                <w:rFonts w:ascii="Arial" w:hAnsi="Arial" w:cs="Arial"/>
                <w:color w:val="000000" w:themeColor="text1"/>
                <w:sz w:val="20"/>
              </w:rPr>
              <w:t xml:space="preserve"> 2021</w:t>
            </w:r>
          </w:p>
        </w:tc>
      </w:tr>
      <w:tr w:rsidR="00273775" w:rsidRPr="00034DFE" w14:paraId="4BE053AE" w14:textId="77777777" w:rsidTr="00273775">
        <w:tc>
          <w:tcPr>
            <w:tcW w:w="1356" w:type="pct"/>
            <w:tcMar>
              <w:top w:w="0" w:type="dxa"/>
              <w:left w:w="70" w:type="dxa"/>
              <w:bottom w:w="0" w:type="dxa"/>
              <w:right w:w="70" w:type="dxa"/>
            </w:tcMar>
            <w:hideMark/>
          </w:tcPr>
          <w:p w14:paraId="4BE053AC"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Renseignements :</w:t>
            </w:r>
          </w:p>
        </w:tc>
        <w:tc>
          <w:tcPr>
            <w:tcW w:w="3644" w:type="pct"/>
            <w:tcMar>
              <w:top w:w="0" w:type="dxa"/>
              <w:left w:w="70" w:type="dxa"/>
              <w:bottom w:w="0" w:type="dxa"/>
              <w:right w:w="70" w:type="dxa"/>
            </w:tcMar>
            <w:vAlign w:val="center"/>
            <w:hideMark/>
          </w:tcPr>
          <w:p w14:paraId="449764E5" w14:textId="33F0BE2E" w:rsidR="00596829" w:rsidRDefault="00596829" w:rsidP="00B2417A">
            <w:pPr>
              <w:spacing w:before="120" w:after="60" w:line="240" w:lineRule="auto"/>
              <w:jc w:val="both"/>
              <w:rPr>
                <w:rFonts w:ascii="Arial" w:hAnsi="Arial" w:cs="Arial"/>
                <w:sz w:val="20"/>
              </w:rPr>
            </w:pPr>
            <w:r>
              <w:rPr>
                <w:rFonts w:ascii="Arial" w:hAnsi="Arial" w:cs="Arial"/>
                <w:sz w:val="20"/>
              </w:rPr>
              <w:t>M. Johann Tutumlu, responsable d’équipe,</w:t>
            </w:r>
            <w:r w:rsidR="0021558E">
              <w:rPr>
                <w:rFonts w:ascii="Arial" w:hAnsi="Arial" w:cs="Arial"/>
                <w:sz w:val="20"/>
              </w:rPr>
              <w:t xml:space="preserve"> tél.</w:t>
            </w:r>
            <w:r>
              <w:rPr>
                <w:rFonts w:ascii="Arial" w:hAnsi="Arial" w:cs="Arial"/>
                <w:sz w:val="20"/>
              </w:rPr>
              <w:t xml:space="preserve"> 032 889 86 66</w:t>
            </w:r>
          </w:p>
          <w:p w14:paraId="4BE053AD" w14:textId="307450EF" w:rsidR="00C56AB3" w:rsidRPr="00034DFE" w:rsidRDefault="001D1210" w:rsidP="0021558E">
            <w:pPr>
              <w:spacing w:before="120" w:after="60" w:line="240" w:lineRule="auto"/>
              <w:jc w:val="both"/>
              <w:rPr>
                <w:rFonts w:ascii="Arial" w:hAnsi="Arial" w:cs="Arial"/>
                <w:sz w:val="20"/>
              </w:rPr>
            </w:pPr>
            <w:r>
              <w:rPr>
                <w:rFonts w:ascii="Arial" w:hAnsi="Arial" w:cs="Arial"/>
                <w:sz w:val="20"/>
              </w:rPr>
              <w:t>M. Yanick Bussy</w:t>
            </w:r>
            <w:r w:rsidR="00EB4ACE">
              <w:rPr>
                <w:rFonts w:ascii="Arial" w:hAnsi="Arial" w:cs="Arial"/>
                <w:sz w:val="20"/>
              </w:rPr>
              <w:t xml:space="preserve">, </w:t>
            </w:r>
            <w:r>
              <w:rPr>
                <w:rFonts w:ascii="Arial" w:hAnsi="Arial" w:cs="Arial"/>
                <w:sz w:val="20"/>
              </w:rPr>
              <w:t>chef de l’office de protection de l’enfant</w:t>
            </w:r>
            <w:r w:rsidR="00EB4ACE">
              <w:rPr>
                <w:rFonts w:ascii="Arial" w:hAnsi="Arial" w:cs="Arial"/>
                <w:sz w:val="20"/>
              </w:rPr>
              <w:t>,</w:t>
            </w:r>
            <w:r w:rsidR="0021558E">
              <w:rPr>
                <w:rFonts w:ascii="Arial" w:hAnsi="Arial" w:cs="Arial"/>
                <w:sz w:val="20"/>
              </w:rPr>
              <w:t xml:space="preserve"> tél. 032 889 </w:t>
            </w:r>
            <w:r>
              <w:rPr>
                <w:rFonts w:ascii="Arial" w:hAnsi="Arial" w:cs="Arial"/>
                <w:sz w:val="20"/>
              </w:rPr>
              <w:t>83</w:t>
            </w:r>
            <w:r w:rsidR="0021558E">
              <w:rPr>
                <w:rFonts w:ascii="Arial" w:hAnsi="Arial" w:cs="Arial"/>
                <w:sz w:val="20"/>
              </w:rPr>
              <w:t> </w:t>
            </w:r>
            <w:r>
              <w:rPr>
                <w:rFonts w:ascii="Arial" w:hAnsi="Arial" w:cs="Arial"/>
                <w:sz w:val="20"/>
              </w:rPr>
              <w:t>25</w:t>
            </w:r>
          </w:p>
        </w:tc>
      </w:tr>
    </w:tbl>
    <w:p w14:paraId="4BE053B4" w14:textId="111813E9" w:rsidR="00053885" w:rsidRPr="00034DFE" w:rsidRDefault="00053885" w:rsidP="0021558E">
      <w:pPr>
        <w:rPr>
          <w:rFonts w:ascii="Arial" w:hAnsi="Arial" w:cs="Arial"/>
          <w:sz w:val="20"/>
        </w:rPr>
      </w:pPr>
    </w:p>
    <w:sectPr w:rsidR="00053885"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22183"/>
    <w:rsid w:val="00034DFE"/>
    <w:rsid w:val="00053885"/>
    <w:rsid w:val="000B041C"/>
    <w:rsid w:val="001229A6"/>
    <w:rsid w:val="00133D2B"/>
    <w:rsid w:val="0016712D"/>
    <w:rsid w:val="001D1210"/>
    <w:rsid w:val="001D6B78"/>
    <w:rsid w:val="0021319E"/>
    <w:rsid w:val="0021558E"/>
    <w:rsid w:val="002215F5"/>
    <w:rsid w:val="00273775"/>
    <w:rsid w:val="002C5824"/>
    <w:rsid w:val="002D22E0"/>
    <w:rsid w:val="002F4A24"/>
    <w:rsid w:val="003E1105"/>
    <w:rsid w:val="00426C86"/>
    <w:rsid w:val="0046472B"/>
    <w:rsid w:val="004A4E0B"/>
    <w:rsid w:val="00542964"/>
    <w:rsid w:val="00596829"/>
    <w:rsid w:val="005A4F22"/>
    <w:rsid w:val="00624B2B"/>
    <w:rsid w:val="006526FC"/>
    <w:rsid w:val="00664000"/>
    <w:rsid w:val="007B7BCF"/>
    <w:rsid w:val="007D496A"/>
    <w:rsid w:val="00824EA4"/>
    <w:rsid w:val="008333D6"/>
    <w:rsid w:val="008760F5"/>
    <w:rsid w:val="008C7569"/>
    <w:rsid w:val="00920BA3"/>
    <w:rsid w:val="0097596B"/>
    <w:rsid w:val="00975E57"/>
    <w:rsid w:val="009770C7"/>
    <w:rsid w:val="009E395D"/>
    <w:rsid w:val="009F422F"/>
    <w:rsid w:val="009F7576"/>
    <w:rsid w:val="00A03C7B"/>
    <w:rsid w:val="00A42263"/>
    <w:rsid w:val="00A54D4F"/>
    <w:rsid w:val="00AC57E7"/>
    <w:rsid w:val="00AE3CB3"/>
    <w:rsid w:val="00B02119"/>
    <w:rsid w:val="00B065E6"/>
    <w:rsid w:val="00B2417A"/>
    <w:rsid w:val="00BA2F8D"/>
    <w:rsid w:val="00BA4BAD"/>
    <w:rsid w:val="00BC476D"/>
    <w:rsid w:val="00C54284"/>
    <w:rsid w:val="00C56AB3"/>
    <w:rsid w:val="00C57591"/>
    <w:rsid w:val="00C635D5"/>
    <w:rsid w:val="00C8050E"/>
    <w:rsid w:val="00CA0596"/>
    <w:rsid w:val="00CC3700"/>
    <w:rsid w:val="00DC6509"/>
    <w:rsid w:val="00DD6309"/>
    <w:rsid w:val="00E74E69"/>
    <w:rsid w:val="00EB4ACE"/>
    <w:rsid w:val="00EF2CCB"/>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5387"/>
  <w15:docId w15:val="{A0E058F9-504C-4DC4-B6AC-249A725A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ibliothequeDocs" ma:contentTypeID="0x0101100078924F757868C74CAE89FCE50BB96D12" ma:contentTypeVersion="1" ma:contentTypeDescription="ContentType document library" ma:contentTypeScope="" ma:versionID="ab6d11a1585df84525f9952a535093cc">
  <xsd:schema xmlns:xsd="http://www.w3.org/2001/XMLSchema" xmlns:p="http://schemas.microsoft.com/office/2006/metadata/properties" targetNamespace="http://schemas.microsoft.com/office/2006/metadata/properties" ma:root="true" ma:fieldsID="4fbb66f567a970009c75faf950d2f2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F017-860E-49D0-BDF0-44637B1BCC2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3.xml><?xml version="1.0" encoding="utf-8"?>
<ds:datastoreItem xmlns:ds="http://schemas.openxmlformats.org/officeDocument/2006/customXml" ds:itemID="{718EE09B-7954-4E57-99B4-DD4DC7F6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B05ADA-5A8C-4721-B2CE-CD345B94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1166</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2013-08-09T09:02:00Z</cp:lastPrinted>
  <dcterms:created xsi:type="dcterms:W3CDTF">2021-07-26T11:08:00Z</dcterms:created>
  <dcterms:modified xsi:type="dcterms:W3CDTF">2021-07-26T11:08:00Z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0x0101100078924F757868C74CAE89FCE50BB96D12</vt:lpwstr>
  </property>
</Properties>
</file>